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Default="00E93622" w:rsidP="00E93622">
      <w:pPr>
        <w:autoSpaceDE w:val="0"/>
        <w:autoSpaceDN w:val="0"/>
        <w:adjustRightInd w:val="0"/>
        <w:jc w:val="both"/>
        <w:rPr>
          <w:shd w:val="clear" w:color="auto" w:fill="FFFFFF"/>
        </w:rPr>
      </w:pPr>
    </w:p>
    <w:p w14:paraId="66695E0E" w14:textId="77777777"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sidR="00347587">
        <w:rPr>
          <w:b/>
          <w:bCs/>
          <w:color w:val="FFFFFF" w:themeColor="background1"/>
          <w:sz w:val="28"/>
          <w:szCs w:val="28"/>
        </w:rPr>
        <w:t>s</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26382EBA" w:rsidR="006C7BA2" w:rsidRPr="00C45038" w:rsidRDefault="00317A16" w:rsidP="00C45038">
      <w:pPr>
        <w:pStyle w:val="BlockText"/>
        <w:ind w:left="0" w:right="0"/>
        <w:jc w:val="both"/>
        <w:rPr>
          <w:sz w:val="24"/>
        </w:rPr>
      </w:pPr>
      <w:r w:rsidRPr="001D70E6">
        <w:rPr>
          <w:sz w:val="24"/>
        </w:rPr>
        <w:t xml:space="preserve">Applications are invited for the following </w:t>
      </w:r>
      <w:r w:rsidR="00C160C8">
        <w:rPr>
          <w:sz w:val="24"/>
        </w:rPr>
        <w:t xml:space="preserve">Specific purpose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3D8AB0C9" w14:textId="77777777" w:rsidR="002526D2" w:rsidRPr="002526D2" w:rsidRDefault="002526D2" w:rsidP="00C160C8">
      <w:pPr>
        <w:ind w:left="9360" w:firstLine="720"/>
        <w:rPr>
          <w:b/>
          <w:color w:val="000000" w:themeColor="text1"/>
        </w:rPr>
      </w:pPr>
      <w:r w:rsidRPr="002526D2">
        <w:rPr>
          <w:b/>
          <w:color w:val="000000" w:themeColor="text1"/>
        </w:rPr>
        <w:t>Hours</w:t>
      </w:r>
    </w:p>
    <w:p w14:paraId="6A26A810" w14:textId="4A0A7A08" w:rsidR="00461623" w:rsidRDefault="00461623" w:rsidP="008F06FD">
      <w:pPr>
        <w:pStyle w:val="BodyTextIndent"/>
        <w:ind w:left="0" w:right="-1"/>
        <w:rPr>
          <w:b/>
          <w:highlight w:val="yellow"/>
        </w:rPr>
      </w:pPr>
    </w:p>
    <w:p w14:paraId="77192033" w14:textId="77777777" w:rsidR="00AD09D1" w:rsidRPr="00F35FC5" w:rsidRDefault="00AD09D1" w:rsidP="00AD09D1">
      <w:pPr>
        <w:pStyle w:val="BodyTextIndent"/>
        <w:ind w:left="0" w:right="-1"/>
        <w:rPr>
          <w:b/>
          <w:color w:val="000000" w:themeColor="text1"/>
        </w:rPr>
      </w:pPr>
      <w:r w:rsidRPr="00F35FC5">
        <w:rPr>
          <w:b/>
          <w:color w:val="000000" w:themeColor="text1"/>
        </w:rPr>
        <w:t>Coláiste na Sceilge</w:t>
      </w:r>
    </w:p>
    <w:p w14:paraId="19F53080" w14:textId="715527B6" w:rsidR="00AD09D1" w:rsidRDefault="00AD09D1" w:rsidP="00AD09D1">
      <w:pPr>
        <w:pStyle w:val="BodyTextIndent"/>
        <w:ind w:left="0" w:right="-1"/>
      </w:pPr>
      <w:r w:rsidRPr="00E227F0">
        <w:t>CNS 25.26</w:t>
      </w:r>
      <w:r>
        <w:t>.2</w:t>
      </w:r>
      <w:r w:rsidR="00C160C8">
        <w:t>5 Irish (Maternity leave cover)</w:t>
      </w:r>
      <w:r w:rsidRPr="00E227F0">
        <w:tab/>
      </w:r>
      <w:r>
        <w:rPr>
          <w:b/>
        </w:rPr>
        <w:tab/>
      </w:r>
      <w:r>
        <w:rPr>
          <w:b/>
        </w:rPr>
        <w:tab/>
      </w:r>
      <w:r>
        <w:rPr>
          <w:b/>
        </w:rPr>
        <w:tab/>
      </w:r>
      <w:r>
        <w:rPr>
          <w:b/>
        </w:rPr>
        <w:tab/>
      </w:r>
      <w:r>
        <w:rPr>
          <w:b/>
        </w:rPr>
        <w:tab/>
      </w:r>
      <w:r>
        <w:rPr>
          <w:b/>
        </w:rPr>
        <w:tab/>
      </w:r>
      <w:r>
        <w:rPr>
          <w:b/>
        </w:rPr>
        <w:tab/>
      </w:r>
      <w:r w:rsidR="00C160C8">
        <w:rPr>
          <w:b/>
        </w:rPr>
        <w:tab/>
      </w:r>
      <w:r w:rsidRPr="00E227F0">
        <w:t>22</w:t>
      </w:r>
    </w:p>
    <w:p w14:paraId="6E581388" w14:textId="6186996B" w:rsidR="00C160C8" w:rsidRPr="00347587" w:rsidRDefault="00C160C8" w:rsidP="00AD09D1">
      <w:pPr>
        <w:pStyle w:val="BodyTextIndent"/>
        <w:ind w:left="0" w:right="-1"/>
        <w:rPr>
          <w:b/>
        </w:rPr>
      </w:pPr>
      <w:r w:rsidRPr="00C160C8">
        <w:t>CNS 25.26.2</w:t>
      </w:r>
      <w:r>
        <w:t>6</w:t>
      </w:r>
      <w:r w:rsidRPr="00C160C8">
        <w:tab/>
        <w:t>History</w:t>
      </w:r>
      <w:r>
        <w:rPr>
          <w:b/>
        </w:rPr>
        <w:t xml:space="preserve"> (</w:t>
      </w:r>
      <w:r w:rsidRPr="00C160C8">
        <w:t>Experience of teaching German is an advantage) (Maternity Leave cover</w:t>
      </w:r>
      <w:r>
        <w:rPr>
          <w:b/>
        </w:rPr>
        <w:t>)</w:t>
      </w:r>
      <w:r>
        <w:rPr>
          <w:b/>
        </w:rPr>
        <w:tab/>
        <w:t>22</w:t>
      </w:r>
    </w:p>
    <w:p w14:paraId="59913F9A" w14:textId="77777777" w:rsidR="00CE1864" w:rsidRPr="00CE1864" w:rsidRDefault="00CE1864" w:rsidP="008F06FD">
      <w:pPr>
        <w:pStyle w:val="BodyTextIndent"/>
        <w:ind w:left="0" w:right="-1"/>
        <w:rPr>
          <w:b/>
          <w:color w:val="000000" w:themeColor="text1"/>
        </w:rPr>
      </w:pPr>
    </w:p>
    <w:p w14:paraId="5A854014" w14:textId="77777777" w:rsidR="00CE1864" w:rsidRDefault="00CE1864" w:rsidP="008F06FD">
      <w:pPr>
        <w:pStyle w:val="BodyTextIndent"/>
        <w:ind w:left="0" w:right="-1"/>
        <w:rPr>
          <w:b/>
          <w:color w:val="000000" w:themeColor="text1"/>
          <w:u w:val="single"/>
        </w:rPr>
      </w:pPr>
    </w:p>
    <w:p w14:paraId="71052AFA" w14:textId="77777777"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6E4EB62C" w14:textId="77777777" w:rsidR="008F06FD" w:rsidRPr="00852A5C" w:rsidRDefault="008F06FD" w:rsidP="008F06FD">
      <w:pPr>
        <w:pStyle w:val="BodyTextIndent"/>
        <w:ind w:left="0" w:right="-1"/>
      </w:pPr>
    </w:p>
    <w:p w14:paraId="5CAFB1D7"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1D70E6" w:rsidRDefault="00317A16" w:rsidP="00317A16">
      <w:pPr>
        <w:pStyle w:val="BodyTextIndent"/>
        <w:ind w:left="0" w:right="-1"/>
        <w:rPr>
          <w:i/>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2"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49A58CE1" w14:textId="1F691741" w:rsidR="00852A5C" w:rsidRDefault="00317A16" w:rsidP="00852A5C">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AD3FF1">
        <w:rPr>
          <w:b/>
          <w:i/>
          <w:sz w:val="24"/>
          <w:szCs w:val="24"/>
        </w:rPr>
        <w:t xml:space="preserve"> Wednesday 28</w:t>
      </w:r>
      <w:r w:rsidR="00AD3FF1" w:rsidRPr="00AD3FF1">
        <w:rPr>
          <w:b/>
          <w:i/>
          <w:sz w:val="24"/>
          <w:szCs w:val="24"/>
          <w:vertAlign w:val="superscript"/>
        </w:rPr>
        <w:t>th</w:t>
      </w:r>
      <w:r w:rsidR="00AD3FF1">
        <w:rPr>
          <w:b/>
          <w:i/>
          <w:sz w:val="24"/>
          <w:szCs w:val="24"/>
        </w:rPr>
        <w:t xml:space="preserve"> May 2025.</w:t>
      </w:r>
      <w:bookmarkStart w:id="1" w:name="_GoBack"/>
      <w:bookmarkEnd w:id="1"/>
    </w:p>
    <w:p w14:paraId="6F1A81F5" w14:textId="77777777" w:rsidR="006C5A5C" w:rsidRPr="00594577" w:rsidRDefault="006C5A5C" w:rsidP="00317A16">
      <w:pPr>
        <w:pStyle w:val="BodyText"/>
        <w:tabs>
          <w:tab w:val="left" w:pos="684"/>
        </w:tabs>
        <w:ind w:right="-27"/>
        <w:jc w:val="left"/>
        <w:rPr>
          <w:b/>
          <w:i/>
          <w:sz w:val="24"/>
          <w:szCs w:val="24"/>
        </w:rPr>
      </w:pPr>
    </w:p>
    <w:p w14:paraId="66F87542"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2323CDFB" w14:textId="77777777" w:rsidR="00FD4F7B" w:rsidRPr="00FD4F7B" w:rsidRDefault="00FD4F7B" w:rsidP="00BF75BD">
      <w:pPr>
        <w:pStyle w:val="BodyTextIndent"/>
        <w:ind w:left="0" w:right="-1"/>
        <w:rPr>
          <w:b/>
          <w:i/>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09D028C2" w:rsidR="00B973AA" w:rsidRPr="00065FD4" w:rsidRDefault="00065FD4" w:rsidP="00065FD4">
      <w:pPr>
        <w:pStyle w:val="Subtitle"/>
        <w:tabs>
          <w:tab w:val="left" w:pos="684"/>
        </w:tabs>
        <w:ind w:right="-27"/>
        <w:rPr>
          <w:rFonts w:ascii="Times New Roman" w:hAnsi="Times New Roman"/>
          <w:b/>
          <w:i/>
          <w:iCs/>
          <w:sz w:val="22"/>
          <w:szCs w:val="22"/>
        </w:rPr>
      </w:pPr>
      <w:r>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r w:rsidR="00C160C8">
        <w:rPr>
          <w:noProof/>
        </w:rPr>
        <w:drawing>
          <wp:inline distT="0" distB="0" distL="0" distR="0" wp14:anchorId="11B8596B" wp14:editId="684B2786">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9A45" w14:textId="77777777" w:rsidR="00DC2DBB" w:rsidRDefault="00DC2DBB" w:rsidP="00DC2DBB">
      <w:r>
        <w:separator/>
      </w:r>
    </w:p>
  </w:endnote>
  <w:endnote w:type="continuationSeparator" w:id="0">
    <w:p w14:paraId="13F3F7F9"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75AE" w14:textId="77777777" w:rsidR="00DC2DBB" w:rsidRDefault="00DC2DBB" w:rsidP="00DC2DBB">
      <w:r>
        <w:separator/>
      </w:r>
    </w:p>
  </w:footnote>
  <w:footnote w:type="continuationSeparator" w:id="0">
    <w:p w14:paraId="1D106E21" w14:textId="77777777" w:rsidR="00DC2DBB" w:rsidRDefault="00DC2DBB" w:rsidP="00DC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71EB7"/>
    <w:multiLevelType w:val="hybridMultilevel"/>
    <w:tmpl w:val="0DD61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15B04"/>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18AD"/>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1DB"/>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67D03"/>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1CCB"/>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09D1"/>
    <w:rsid w:val="00AD2E24"/>
    <w:rsid w:val="00AD34B7"/>
    <w:rsid w:val="00AD3FF1"/>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48B3"/>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0C8"/>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1864"/>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A745E"/>
    <w:rsid w:val="00EB0DCA"/>
    <w:rsid w:val="00EB2D3F"/>
    <w:rsid w:val="00EB4578"/>
    <w:rsid w:val="00EB4628"/>
    <w:rsid w:val="00EB6293"/>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75B"/>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2.xml><?xml version="1.0" encoding="utf-8"?>
<ds:datastoreItem xmlns:ds="http://schemas.openxmlformats.org/officeDocument/2006/customXml" ds:itemID="{8F2455AF-F5F6-45D3-BD30-6B86D8C43C62}">
  <ds:schemaRefs>
    <ds:schemaRef ds:uri="http://schemas.microsoft.com/office/2006/metadata/properties"/>
    <ds:schemaRef ds:uri="http://schemas.openxmlformats.org/package/2006/metadata/core-properties"/>
    <ds:schemaRef ds:uri="http://purl.org/dc/elements/1.1/"/>
    <ds:schemaRef ds:uri="e339e561-3ac4-4f07-a80d-77efd469d697"/>
    <ds:schemaRef ds:uri="20bb011e-772b-4d93-81ef-1c829579914b"/>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EEFE6DD-4102-45E1-9CE9-469D5B39C240}"/>
</file>

<file path=customXml/itemProps4.xml><?xml version="1.0" encoding="utf-8"?>
<ds:datastoreItem xmlns:ds="http://schemas.openxmlformats.org/officeDocument/2006/customXml" ds:itemID="{873341FD-58FF-4B23-8362-DB4B35F0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4</cp:revision>
  <cp:lastPrinted>2023-09-15T10:48:00Z</cp:lastPrinted>
  <dcterms:created xsi:type="dcterms:W3CDTF">2025-05-13T10:28:00Z</dcterms:created>
  <dcterms:modified xsi:type="dcterms:W3CDTF">2025-05-14T10:46:00Z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