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lang w:val="en-IE" w:eastAsia="en-IE"/>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3134F0" w:rsidRDefault="007C4845" w:rsidP="0024447C">
      <w:pPr>
        <w:pBdr>
          <w:top w:val="single" w:sz="4" w:space="1" w:color="auto"/>
          <w:left w:val="single" w:sz="4" w:space="4" w:color="auto"/>
          <w:bottom w:val="single" w:sz="4" w:space="1" w:color="auto"/>
          <w:right w:val="single" w:sz="4" w:space="4" w:color="auto"/>
        </w:pBdr>
        <w:shd w:val="clear" w:color="auto" w:fill="E0E0E0"/>
        <w:ind w:firstLine="720"/>
        <w:jc w:val="center"/>
        <w:rPr>
          <w:b/>
          <w:sz w:val="28"/>
          <w:szCs w:val="28"/>
        </w:rPr>
      </w:pPr>
      <w:r>
        <w:rPr>
          <w:b/>
          <w:sz w:val="28"/>
          <w:szCs w:val="28"/>
        </w:rPr>
        <w:t>A</w:t>
      </w:r>
      <w:r w:rsidR="00F90C8A">
        <w:rPr>
          <w:b/>
          <w:sz w:val="28"/>
          <w:szCs w:val="28"/>
        </w:rPr>
        <w:t xml:space="preserve">dult </w:t>
      </w:r>
      <w:r>
        <w:rPr>
          <w:b/>
          <w:sz w:val="28"/>
          <w:szCs w:val="28"/>
        </w:rPr>
        <w:t>E</w:t>
      </w:r>
      <w:r w:rsidR="00F90C8A">
        <w:rPr>
          <w:b/>
          <w:sz w:val="28"/>
          <w:szCs w:val="28"/>
        </w:rPr>
        <w:t xml:space="preserve">ducation </w:t>
      </w:r>
      <w:r>
        <w:rPr>
          <w:b/>
          <w:sz w:val="28"/>
          <w:szCs w:val="28"/>
        </w:rPr>
        <w:t>O</w:t>
      </w:r>
      <w:r w:rsidR="00F90C8A">
        <w:rPr>
          <w:b/>
          <w:sz w:val="28"/>
          <w:szCs w:val="28"/>
        </w:rPr>
        <w:t>fficer</w:t>
      </w:r>
      <w:r w:rsidR="0024447C">
        <w:rPr>
          <w:b/>
          <w:sz w:val="28"/>
          <w:szCs w:val="28"/>
        </w:rPr>
        <w:t xml:space="preserve"> </w:t>
      </w:r>
      <w:r w:rsidR="00F90C8A">
        <w:rPr>
          <w:b/>
          <w:sz w:val="28"/>
          <w:szCs w:val="28"/>
        </w:rPr>
        <w:t>Permanent</w:t>
      </w:r>
      <w:r w:rsidR="0024447C">
        <w:rPr>
          <w:b/>
          <w:sz w:val="28"/>
          <w:szCs w:val="28"/>
        </w:rPr>
        <w:t xml:space="preserve"> Contract</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Initial </w:t>
      </w:r>
      <w:r w:rsidR="00D5320E">
        <w:rPr>
          <w:b/>
          <w:sz w:val="28"/>
          <w:szCs w:val="28"/>
        </w:rPr>
        <w:t>Assignment</w:t>
      </w:r>
      <w:r>
        <w:rPr>
          <w:b/>
          <w:sz w:val="28"/>
          <w:szCs w:val="28"/>
        </w:rPr>
        <w:t>: Management of Kerry College Admissions Office</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lang w:val="en-IE" w:eastAsia="en-IE"/>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lang w:val="en-IE" w:eastAsia="en-IE"/>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C7380A">
              <w:rPr>
                <w:b/>
                <w:lang w:val="en-GB"/>
              </w:rPr>
              <w:t>100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C7380A" w:rsidRDefault="00F90C8A" w:rsidP="00C7380A">
            <w:pPr>
              <w:pStyle w:val="ListParagraph"/>
              <w:numPr>
                <w:ilvl w:val="0"/>
                <w:numId w:val="5"/>
              </w:numPr>
              <w:spacing w:after="160" w:line="259" w:lineRule="auto"/>
              <w:rPr>
                <w:rFonts w:eastAsia="Calibri"/>
                <w:b/>
              </w:rPr>
            </w:pPr>
            <w:r w:rsidRPr="00C7380A">
              <w:rPr>
                <w:rFonts w:eastAsia="Calibri"/>
                <w:b/>
              </w:rPr>
              <w:t>Lead</w:t>
            </w:r>
            <w:r w:rsidR="00BD3B25" w:rsidRPr="00C7380A">
              <w:rPr>
                <w:rFonts w:eastAsia="Calibri"/>
                <w:b/>
              </w:rPr>
              <w:t xml:space="preserve">ership: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241AC4" w:rsidRPr="00C7380A" w:rsidRDefault="00F90C8A" w:rsidP="00C7380A">
            <w:pPr>
              <w:pStyle w:val="ListParagraph"/>
              <w:numPr>
                <w:ilvl w:val="0"/>
                <w:numId w:val="5"/>
              </w:numPr>
              <w:spacing w:after="160" w:line="259" w:lineRule="auto"/>
              <w:rPr>
                <w:rFonts w:eastAsia="Calibri"/>
                <w:b/>
              </w:rPr>
            </w:pPr>
            <w:r w:rsidRPr="00C7380A">
              <w:rPr>
                <w:rFonts w:eastAsia="Calibri"/>
                <w:b/>
              </w:rPr>
              <w:t xml:space="preserve">Analysis &amp; Decision Making: </w:t>
            </w: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241AC4" w:rsidRPr="00C7380A" w:rsidRDefault="00F90C8A" w:rsidP="00C7380A">
            <w:pPr>
              <w:pStyle w:val="ListParagraph"/>
              <w:numPr>
                <w:ilvl w:val="0"/>
                <w:numId w:val="5"/>
              </w:numPr>
              <w:spacing w:after="160" w:line="259" w:lineRule="auto"/>
              <w:rPr>
                <w:rFonts w:eastAsia="Calibri"/>
                <w:b/>
              </w:rPr>
            </w:pPr>
            <w:r w:rsidRPr="00C7380A">
              <w:rPr>
                <w:rFonts w:eastAsia="Calibri"/>
                <w:b/>
              </w:rPr>
              <w:t xml:space="preserve">Management and delivery of results: </w:t>
            </w: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C7380A" w:rsidRDefault="00F90C8A" w:rsidP="00C7380A">
            <w:pPr>
              <w:pStyle w:val="ListParagraph"/>
              <w:numPr>
                <w:ilvl w:val="0"/>
                <w:numId w:val="5"/>
              </w:numPr>
              <w:spacing w:after="160" w:line="259" w:lineRule="auto"/>
              <w:rPr>
                <w:rFonts w:eastAsia="Calibri"/>
                <w:b/>
              </w:rPr>
            </w:pPr>
            <w:r w:rsidRPr="00C7380A">
              <w:rPr>
                <w:rFonts w:eastAsia="Calibri"/>
                <w:b/>
              </w:rPr>
              <w:t xml:space="preserve">Interpersonal and communication skills: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C7380A" w:rsidRDefault="00F90C8A" w:rsidP="00C7380A">
            <w:pPr>
              <w:pStyle w:val="ListParagraph"/>
              <w:numPr>
                <w:ilvl w:val="0"/>
                <w:numId w:val="5"/>
              </w:numPr>
              <w:spacing w:after="160" w:line="259" w:lineRule="auto"/>
              <w:rPr>
                <w:rFonts w:eastAsia="Calibri"/>
                <w:b/>
              </w:rPr>
            </w:pPr>
            <w:r w:rsidRPr="00C7380A">
              <w:rPr>
                <w:rFonts w:eastAsia="Calibri"/>
                <w:b/>
              </w:rPr>
              <w:t xml:space="preserve">Specialist Knowledge, Expertise and Self-development: </w:t>
            </w: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C7380A" w:rsidTr="007C7DF5">
        <w:tc>
          <w:tcPr>
            <w:tcW w:w="10188" w:type="dxa"/>
            <w:shd w:val="clear" w:color="auto" w:fill="auto"/>
          </w:tcPr>
          <w:p w:rsidR="00F90C8A" w:rsidRPr="00C7380A" w:rsidRDefault="00F90C8A" w:rsidP="00C7380A">
            <w:pPr>
              <w:pStyle w:val="ListParagraph"/>
              <w:numPr>
                <w:ilvl w:val="0"/>
                <w:numId w:val="5"/>
              </w:numPr>
              <w:rPr>
                <w:rFonts w:eastAsia="Calibri"/>
                <w:b/>
              </w:rPr>
            </w:pPr>
            <w:r w:rsidRPr="00C7380A">
              <w:rPr>
                <w:b/>
              </w:rPr>
              <w:t>Drive &amp; Commitment to Public Service Values:</w:t>
            </w:r>
            <w:r w:rsidRPr="00C7380A">
              <w:rPr>
                <w:rFonts w:eastAsia="Calibri"/>
                <w:b/>
              </w:rPr>
              <w:t xml:space="preserve"> </w:t>
            </w:r>
          </w:p>
        </w:tc>
      </w:tr>
      <w:tr w:rsidR="00F90C8A" w:rsidRPr="00C7380A" w:rsidTr="007C7DF5">
        <w:tc>
          <w:tcPr>
            <w:tcW w:w="10188" w:type="dxa"/>
            <w:shd w:val="clear" w:color="auto" w:fill="auto"/>
          </w:tcPr>
          <w:p w:rsidR="00F90C8A" w:rsidRPr="00C7380A" w:rsidRDefault="00F90C8A" w:rsidP="007C7DF5">
            <w:pPr>
              <w:rPr>
                <w:b/>
              </w:rPr>
            </w:pPr>
          </w:p>
          <w:p w:rsidR="00F90C8A" w:rsidRPr="00C7380A" w:rsidRDefault="00F90C8A" w:rsidP="0000275B">
            <w:pPr>
              <w:rPr>
                <w:b/>
              </w:rPr>
            </w:pPr>
          </w:p>
        </w:tc>
      </w:tr>
    </w:tbl>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bookmarkStart w:id="0" w:name="_GoBack"/>
      <w:bookmarkEnd w:id="0"/>
    </w:p>
    <w:p w:rsidR="00E70551" w:rsidRDefault="00E70551"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C7380A">
          <w:rPr>
            <w:noProof/>
          </w:rPr>
          <w:t>7</w:t>
        </w:r>
        <w:r>
          <w:rPr>
            <w:noProof/>
          </w:rPr>
          <w:fldChar w:fldCharType="end"/>
        </w:r>
      </w:p>
    </w:sdtContent>
  </w:sdt>
  <w:p w:rsidR="00754C2C" w:rsidRDefault="00C7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FED"/>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B23F"/>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40</cp:revision>
  <dcterms:created xsi:type="dcterms:W3CDTF">2019-08-16T08:35:00Z</dcterms:created>
  <dcterms:modified xsi:type="dcterms:W3CDTF">2021-12-07T16:42:00Z</dcterms:modified>
</cp:coreProperties>
</file>